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B7" w:rsidRDefault="00815582" w:rsidP="00421C09">
      <w:pPr>
        <w:spacing w:after="120"/>
      </w:pPr>
      <w:r>
        <w:rPr>
          <w:b/>
        </w:rPr>
        <w:t>Datum: 12.04.2024</w:t>
      </w:r>
    </w:p>
    <w:p w:rsidR="008843B7" w:rsidRPr="002C4C92" w:rsidRDefault="001918FC" w:rsidP="00421C09">
      <w:pPr>
        <w:spacing w:line="247" w:lineRule="auto"/>
        <w:jc w:val="center"/>
        <w:rPr>
          <w:sz w:val="22"/>
          <w:szCs w:val="22"/>
        </w:rPr>
      </w:pPr>
      <w:r>
        <w:rPr>
          <w:rFonts w:cs="Shaikh Hamdullah Basic"/>
          <w:b/>
          <w:bCs/>
          <w:noProof/>
          <w:color w:val="0000FF"/>
          <w:sz w:val="30"/>
          <w:szCs w:val="30"/>
          <w:lang w:val="tr-TR"/>
        </w:rPr>
        <w:drawing>
          <wp:inline distT="0" distB="0" distL="0" distR="0">
            <wp:extent cx="3371850" cy="2286000"/>
            <wp:effectExtent l="0" t="0" r="0" b="0"/>
            <wp:docPr id="1" name="Resim 1" descr="C:\Users\User\Desktop\12.04.2024\Serlev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04.2024\Serlevh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907" cy="2284682"/>
                    </a:xfrm>
                    <a:prstGeom prst="rect">
                      <a:avLst/>
                    </a:prstGeom>
                    <a:noFill/>
                    <a:ln>
                      <a:noFill/>
                    </a:ln>
                  </pic:spPr>
                </pic:pic>
              </a:graphicData>
            </a:graphic>
          </wp:inline>
        </w:drawing>
      </w:r>
      <w:r w:rsidR="00096C5A" w:rsidRPr="002C4C92">
        <w:rPr>
          <w:b/>
          <w:sz w:val="22"/>
          <w:szCs w:val="22"/>
        </w:rPr>
        <w:t>DAS LICHT UNSERER AUGEN: GEBET</w:t>
      </w:r>
    </w:p>
    <w:p w:rsidR="008843B7" w:rsidRPr="002C4C92" w:rsidRDefault="00815582" w:rsidP="002C4C92">
      <w:pPr>
        <w:spacing w:line="247" w:lineRule="auto"/>
        <w:ind w:firstLine="567"/>
        <w:rPr>
          <w:sz w:val="22"/>
          <w:szCs w:val="22"/>
        </w:rPr>
      </w:pPr>
      <w:r w:rsidRPr="002C4C92">
        <w:rPr>
          <w:b/>
          <w:sz w:val="22"/>
          <w:szCs w:val="22"/>
        </w:rPr>
        <w:t>Verehrte Muslime!</w:t>
      </w:r>
    </w:p>
    <w:p w:rsidR="002C4C92" w:rsidRPr="002C4C92" w:rsidRDefault="00815582" w:rsidP="002C4C92">
      <w:pPr>
        <w:spacing w:after="120" w:line="247" w:lineRule="auto"/>
        <w:ind w:firstLine="567"/>
        <w:jc w:val="both"/>
        <w:rPr>
          <w:sz w:val="22"/>
          <w:szCs w:val="22"/>
        </w:rPr>
      </w:pPr>
      <w:r w:rsidRPr="002C4C92">
        <w:rPr>
          <w:sz w:val="22"/>
          <w:szCs w:val="22"/>
        </w:rPr>
        <w:t>In dem Vers, den ich v</w:t>
      </w:r>
      <w:bookmarkStart w:id="0" w:name="_GoBack"/>
      <w:bookmarkEnd w:id="0"/>
      <w:r w:rsidRPr="002C4C92">
        <w:rPr>
          <w:sz w:val="22"/>
          <w:szCs w:val="22"/>
        </w:rPr>
        <w:t xml:space="preserve">orgetragen habe, sagt unser allmächtiger </w:t>
      </w:r>
      <w:proofErr w:type="spellStart"/>
      <w:r w:rsidRPr="002C4C92">
        <w:rPr>
          <w:sz w:val="22"/>
          <w:szCs w:val="22"/>
        </w:rPr>
        <w:t>Herr:</w:t>
      </w:r>
      <w:r w:rsidRPr="002C4C92">
        <w:rPr>
          <w:b/>
          <w:sz w:val="22"/>
          <w:szCs w:val="22"/>
        </w:rPr>
        <w:t>„</w:t>
      </w:r>
      <w:proofErr w:type="gramStart"/>
      <w:r w:rsidRPr="002C4C92">
        <w:rPr>
          <w:b/>
          <w:sz w:val="22"/>
          <w:szCs w:val="22"/>
        </w:rPr>
        <w:t>Lies</w:t>
      </w:r>
      <w:proofErr w:type="spellEnd"/>
      <w:r w:rsidRPr="002C4C92">
        <w:rPr>
          <w:b/>
          <w:sz w:val="22"/>
          <w:szCs w:val="22"/>
        </w:rPr>
        <w:t xml:space="preserve"> ,</w:t>
      </w:r>
      <w:proofErr w:type="gramEnd"/>
      <w:r w:rsidRPr="002C4C92">
        <w:rPr>
          <w:b/>
          <w:sz w:val="22"/>
          <w:szCs w:val="22"/>
        </w:rPr>
        <w:t xml:space="preserve"> was dir aus dem Buch offenbart wurde, und bete aufrichtig. Weil das Gebet die Menschen vor Unanständigkeit und Bösem bewahrt. Das Gebet, das Gedenken an Allah, ist die größte Anbetung. „Allah weiß genau, was du tust.“</w:t>
      </w:r>
      <w:r w:rsidR="002C4C92" w:rsidRPr="002C4C92">
        <w:rPr>
          <w:b/>
          <w:sz w:val="22"/>
          <w:szCs w:val="22"/>
          <w:vertAlign w:val="superscript"/>
        </w:rPr>
        <w:endnoteReference w:id="1"/>
      </w:r>
    </w:p>
    <w:p w:rsidR="002C4C92" w:rsidRPr="002C4C92" w:rsidRDefault="002C4C92" w:rsidP="002C4C92">
      <w:pPr>
        <w:spacing w:after="120" w:line="247" w:lineRule="auto"/>
        <w:ind w:firstLine="567"/>
        <w:jc w:val="both"/>
        <w:rPr>
          <w:sz w:val="22"/>
          <w:szCs w:val="22"/>
        </w:rPr>
      </w:pPr>
      <w:r w:rsidRPr="002C4C92">
        <w:rPr>
          <w:sz w:val="22"/>
          <w:szCs w:val="22"/>
        </w:rPr>
        <w:t xml:space="preserve">In dem </w:t>
      </w:r>
      <w:proofErr w:type="spellStart"/>
      <w:r w:rsidRPr="002C4C92">
        <w:rPr>
          <w:sz w:val="22"/>
          <w:szCs w:val="22"/>
        </w:rPr>
        <w:t>Hadith</w:t>
      </w:r>
      <w:proofErr w:type="spellEnd"/>
      <w:r w:rsidRPr="002C4C92">
        <w:rPr>
          <w:sz w:val="22"/>
          <w:szCs w:val="22"/>
        </w:rPr>
        <w:t>, den ich vorgetragen habe, sagt unser Prophet (Friede sei mit ihm):</w:t>
      </w:r>
      <w:r w:rsidRPr="002C4C92">
        <w:rPr>
          <w:b/>
          <w:sz w:val="22"/>
          <w:szCs w:val="22"/>
        </w:rPr>
        <w:t>„</w:t>
      </w:r>
      <w:r w:rsidRPr="002C4C92">
        <w:rPr>
          <w:b/>
          <w:color w:val="000000"/>
          <w:sz w:val="22"/>
          <w:szCs w:val="22"/>
        </w:rPr>
        <w:t>Die erste Tat, für die ein Diener am Tag des Gerichts zur Rechenschaft gezogen wird, ist das Gebet.“</w:t>
      </w:r>
      <w:r w:rsidRPr="002C4C92">
        <w:rPr>
          <w:b/>
          <w:sz w:val="22"/>
          <w:szCs w:val="22"/>
          <w:vertAlign w:val="superscript"/>
        </w:rPr>
        <w:endnoteReference w:id="2"/>
      </w:r>
      <w:r w:rsidRPr="002C4C92">
        <w:rPr>
          <w:b/>
          <w:sz w:val="22"/>
          <w:szCs w:val="22"/>
        </w:rPr>
        <w:t xml:space="preserve"> </w:t>
      </w:r>
    </w:p>
    <w:p w:rsidR="002C4C92" w:rsidRPr="002C4C92" w:rsidRDefault="002C4C92" w:rsidP="002C4C92">
      <w:pPr>
        <w:spacing w:line="247" w:lineRule="auto"/>
        <w:ind w:firstLine="567"/>
        <w:jc w:val="both"/>
        <w:rPr>
          <w:sz w:val="22"/>
          <w:szCs w:val="22"/>
        </w:rPr>
      </w:pPr>
      <w:r w:rsidRPr="002C4C92">
        <w:rPr>
          <w:b/>
          <w:sz w:val="22"/>
          <w:szCs w:val="22"/>
        </w:rPr>
        <w:t>Liebe Gläubige!</w:t>
      </w:r>
    </w:p>
    <w:p w:rsidR="002C4C92" w:rsidRPr="002C4C92" w:rsidRDefault="002C4C92" w:rsidP="002C4C92">
      <w:pPr>
        <w:spacing w:after="120" w:line="247" w:lineRule="auto"/>
        <w:ind w:firstLine="567"/>
        <w:jc w:val="both"/>
        <w:rPr>
          <w:sz w:val="22"/>
          <w:szCs w:val="22"/>
        </w:rPr>
      </w:pPr>
      <w:r w:rsidRPr="002C4C92">
        <w:rPr>
          <w:sz w:val="22"/>
          <w:szCs w:val="22"/>
        </w:rPr>
        <w:t>Eines der fünf Grundprinzipien unserer großen Religion, des Islam, ist das Gebet. Wie unser Prophet (Friede sei mit ihm) sagte: Gebet; Es ist die Säule unserer Religion und das Licht unserer Augen. Die Freude unseres Herzens ist der Schlüssel zu unserem Paradies.</w:t>
      </w:r>
      <w:r w:rsidRPr="002C4C92">
        <w:rPr>
          <w:sz w:val="22"/>
          <w:szCs w:val="22"/>
          <w:vertAlign w:val="superscript"/>
        </w:rPr>
        <w:endnoteReference w:id="3"/>
      </w:r>
      <w:r w:rsidRPr="002C4C92">
        <w:rPr>
          <w:b/>
          <w:sz w:val="22"/>
          <w:szCs w:val="22"/>
        </w:rPr>
        <w:t xml:space="preserve"> </w:t>
      </w:r>
      <w:r w:rsidRPr="002C4C92">
        <w:rPr>
          <w:sz w:val="22"/>
          <w:szCs w:val="22"/>
        </w:rPr>
        <w:t>Durch das Gebet erwerben wir das Bewusstsein für Knechtschaft und Verantwortung; Durch das Gebet erreichen wir Allahs Zustimmung, endlose Barmherzigkeit und Vergebung. Wir werden die Sorgen los, die unsere Seele einengen, indem wir beten; Durch das Gebet schaffen wir ein Klima des Friedens und des Wohlbefindens. Sie kommen im Gebet zusammen, Schulter an Schulter in derselben Reihe; Wir stärken unsere Einheit, Solidarität und Brüderlichkeit durch das Gebet.</w:t>
      </w:r>
    </w:p>
    <w:p w:rsidR="002C4C92" w:rsidRPr="002C4C92" w:rsidRDefault="002C4C92" w:rsidP="002C4C92">
      <w:pPr>
        <w:spacing w:line="247" w:lineRule="auto"/>
        <w:ind w:firstLine="567"/>
        <w:jc w:val="both"/>
        <w:rPr>
          <w:sz w:val="22"/>
          <w:szCs w:val="22"/>
        </w:rPr>
      </w:pPr>
      <w:r w:rsidRPr="002C4C92">
        <w:rPr>
          <w:b/>
          <w:sz w:val="22"/>
          <w:szCs w:val="22"/>
        </w:rPr>
        <w:t>Werte Muslime!</w:t>
      </w:r>
    </w:p>
    <w:p w:rsidR="002C4C92" w:rsidRPr="002C4C92" w:rsidRDefault="002C4C92" w:rsidP="002C4C92">
      <w:pPr>
        <w:spacing w:after="120" w:line="247" w:lineRule="auto"/>
        <w:ind w:firstLine="567"/>
        <w:jc w:val="both"/>
        <w:rPr>
          <w:sz w:val="22"/>
          <w:szCs w:val="22"/>
        </w:rPr>
      </w:pPr>
      <w:r w:rsidRPr="002C4C92">
        <w:rPr>
          <w:sz w:val="22"/>
          <w:szCs w:val="22"/>
        </w:rPr>
        <w:t>Das Gebet ist ein Ausdruck unserer Dankbarkeit für die Segnungen Gottes, des Allmächtigen. Es ist ein außergewöhnlicher Gottesdienst, der uns daran erinnert, dass wir uns in seiner Gegenwart und unter seiner Aufsicht befinden. Das Gebet ist die Manifestation unserer Liebe und Hingabe an unseren Herrn. Das Zeichen, ein Muslim zu sein, ist die Widerspiegelung unseres Glaubens an das Leben.</w:t>
      </w:r>
    </w:p>
    <w:p w:rsidR="002C4C92" w:rsidRPr="002C4C92" w:rsidRDefault="002C4C92" w:rsidP="002C4C92">
      <w:pPr>
        <w:spacing w:line="247" w:lineRule="auto"/>
        <w:ind w:firstLine="567"/>
        <w:jc w:val="both"/>
        <w:rPr>
          <w:sz w:val="22"/>
          <w:szCs w:val="22"/>
        </w:rPr>
      </w:pPr>
      <w:r w:rsidRPr="002C4C92">
        <w:rPr>
          <w:b/>
          <w:sz w:val="22"/>
          <w:szCs w:val="22"/>
        </w:rPr>
        <w:t>Wertvolle Gläubige!</w:t>
      </w:r>
    </w:p>
    <w:p w:rsidR="002C4C92" w:rsidRPr="002C4C92" w:rsidRDefault="002C4C92" w:rsidP="002C4C92">
      <w:pPr>
        <w:spacing w:after="120" w:line="247" w:lineRule="auto"/>
        <w:ind w:firstLine="567"/>
        <w:jc w:val="both"/>
        <w:rPr>
          <w:sz w:val="22"/>
          <w:szCs w:val="22"/>
        </w:rPr>
      </w:pPr>
      <w:r w:rsidRPr="002C4C92">
        <w:rPr>
          <w:sz w:val="22"/>
          <w:szCs w:val="22"/>
        </w:rPr>
        <w:t>Das Gebet hält uns von allem Bösen fern. Es gibt uns viele gute Gewohnheiten. Die Waschung, die wir vor dem Gebet erledigen; Es lehrt uns, dass wir von materiellem und spirituellem Schmutz gereinigt werden müssen. Sich der Kaaba zuwenden; Es erzählt uns, wie wir weltliche Angelegenheiten hinter uns lassen und vor dem Rat unseres Herrn stehen. Das Gebet mit „</w:t>
      </w:r>
      <w:proofErr w:type="spellStart"/>
      <w:r w:rsidRPr="002C4C92">
        <w:rPr>
          <w:sz w:val="22"/>
          <w:szCs w:val="22"/>
        </w:rPr>
        <w:t>Allahu</w:t>
      </w:r>
      <w:proofErr w:type="spellEnd"/>
      <w:r w:rsidRPr="002C4C92">
        <w:rPr>
          <w:sz w:val="22"/>
          <w:szCs w:val="22"/>
        </w:rPr>
        <w:t xml:space="preserve"> Akbar“ zu beginnen. </w:t>
      </w:r>
      <w:r w:rsidRPr="002C4C92">
        <w:rPr>
          <w:sz w:val="22"/>
          <w:szCs w:val="22"/>
        </w:rPr>
        <w:lastRenderedPageBreak/>
        <w:t xml:space="preserve">Es betont, dass wir bei allem, was wir tun, Zuflucht bei Allah suchen müssen. </w:t>
      </w:r>
      <w:proofErr w:type="spellStart"/>
      <w:r w:rsidRPr="002C4C92">
        <w:rPr>
          <w:sz w:val="22"/>
          <w:szCs w:val="22"/>
        </w:rPr>
        <w:t>Qiyam</w:t>
      </w:r>
      <w:proofErr w:type="spellEnd"/>
      <w:r w:rsidRPr="002C4C92">
        <w:rPr>
          <w:sz w:val="22"/>
          <w:szCs w:val="22"/>
        </w:rPr>
        <w:t xml:space="preserve">; Es sagt uns, dass wir zum Recht und zur Wahrheit stehen und gegen Unterdrückung und Unterdrücker Stellung beziehen sollen. Rezitation; Es erinnert uns daran, dass wir, so wie wir den Koran lesen, seine Bestimmungen auch auf unser gesamtes Leben übertragen sollten. </w:t>
      </w:r>
      <w:proofErr w:type="spellStart"/>
      <w:r w:rsidRPr="002C4C92">
        <w:rPr>
          <w:sz w:val="22"/>
          <w:szCs w:val="22"/>
        </w:rPr>
        <w:t>Ruku</w:t>
      </w:r>
      <w:proofErr w:type="spellEnd"/>
      <w:r w:rsidRPr="002C4C92">
        <w:rPr>
          <w:sz w:val="22"/>
          <w:szCs w:val="22"/>
        </w:rPr>
        <w:t>; Es sagt uns, dass wir uns niemandem außer Allah beugen sollten. Niederwerfung; Es gibt einem die Freude, Gott nahe zu sein. Salam; Es informiert uns darüber, dass wir unsere Brüder und Schwestern lieben und dafür sorgen sollen, dass unter uns Frieden und Vertrauen herrschen.</w:t>
      </w:r>
    </w:p>
    <w:p w:rsidR="002C4C92" w:rsidRPr="002C4C92" w:rsidRDefault="002C4C92" w:rsidP="002C4C92">
      <w:pPr>
        <w:spacing w:line="247" w:lineRule="auto"/>
        <w:ind w:firstLine="567"/>
        <w:jc w:val="both"/>
        <w:rPr>
          <w:sz w:val="22"/>
          <w:szCs w:val="22"/>
        </w:rPr>
      </w:pPr>
      <w:r w:rsidRPr="002C4C92">
        <w:rPr>
          <w:b/>
          <w:sz w:val="22"/>
          <w:szCs w:val="22"/>
        </w:rPr>
        <w:t>Liebe Muslime!</w:t>
      </w:r>
    </w:p>
    <w:p w:rsidR="002C4C92" w:rsidRPr="002C4C92" w:rsidRDefault="002C4C92" w:rsidP="002C4C92">
      <w:pPr>
        <w:spacing w:after="120" w:line="247" w:lineRule="auto"/>
        <w:ind w:firstLine="567"/>
        <w:jc w:val="both"/>
        <w:rPr>
          <w:sz w:val="22"/>
          <w:szCs w:val="22"/>
        </w:rPr>
      </w:pPr>
      <w:r w:rsidRPr="002C4C92">
        <w:rPr>
          <w:sz w:val="22"/>
          <w:szCs w:val="22"/>
        </w:rPr>
        <w:t xml:space="preserve">Fünfmal am Tag zu beten ist für jeden Muslim, der intelligent ist und die Pubertät erreicht hat, egal ob Mann oder Frau, </w:t>
      </w:r>
      <w:proofErr w:type="spellStart"/>
      <w:r w:rsidRPr="002C4C92">
        <w:rPr>
          <w:sz w:val="22"/>
          <w:szCs w:val="22"/>
        </w:rPr>
        <w:t>Pflich</w:t>
      </w:r>
      <w:proofErr w:type="spellEnd"/>
      <w:r w:rsidRPr="002C4C92">
        <w:rPr>
          <w:sz w:val="22"/>
          <w:szCs w:val="22"/>
        </w:rPr>
        <w:t xml:space="preserve">. Ein Muslim kann sein Gebet niemals ohne eine legitime Entschuldigung vernachlässigen. Er kann es nicht einem Zufall überlassen, indem er sagt: „Ich werde es später beten.“ Tatsächlich sagt unser allmächtiger Herr im Heiligen </w:t>
      </w:r>
      <w:proofErr w:type="spellStart"/>
      <w:r w:rsidRPr="002C4C92">
        <w:rPr>
          <w:sz w:val="22"/>
          <w:szCs w:val="22"/>
        </w:rPr>
        <w:t>Kora</w:t>
      </w:r>
      <w:proofErr w:type="spellEnd"/>
      <w:r w:rsidRPr="002C4C92">
        <w:rPr>
          <w:sz w:val="22"/>
          <w:szCs w:val="22"/>
        </w:rPr>
        <w:t xml:space="preserve"> </w:t>
      </w:r>
      <w:r w:rsidRPr="002C4C92">
        <w:rPr>
          <w:rFonts w:cs="Shaikh Hamdullah Mushaf"/>
          <w:b/>
          <w:bCs/>
          <w:color w:val="0000FF"/>
          <w:rtl/>
        </w:rPr>
        <w:t>وَأْمُرْ اَهْلَكَ بِالصَّلٰوةِ وَاصْطَبِرْ عَلَيْهَا</w:t>
      </w:r>
      <w:r w:rsidRPr="002C4C92">
        <w:rPr>
          <w:rFonts w:cs="Shaikh Hamdullah Mushaf"/>
          <w:b/>
          <w:bCs/>
          <w:color w:val="0000FF"/>
          <w:sz w:val="22"/>
          <w:szCs w:val="22"/>
          <w:rtl/>
        </w:rPr>
        <w:t>ۜ</w:t>
      </w:r>
      <w:r w:rsidRPr="002C4C92">
        <w:rPr>
          <w:sz w:val="22"/>
          <w:szCs w:val="22"/>
        </w:rPr>
        <w:t xml:space="preserve"> </w:t>
      </w:r>
      <w:r w:rsidRPr="002C4C92">
        <w:rPr>
          <w:b/>
          <w:sz w:val="22"/>
          <w:szCs w:val="22"/>
        </w:rPr>
        <w:t>„Befehle deiner Familie zu beten, und bete selbst weiter.“</w:t>
      </w:r>
      <w:r w:rsidRPr="002C4C92">
        <w:rPr>
          <w:b/>
          <w:sz w:val="22"/>
          <w:szCs w:val="22"/>
          <w:vertAlign w:val="superscript"/>
        </w:rPr>
        <w:endnoteReference w:id="4"/>
      </w:r>
      <w:r w:rsidRPr="002C4C92">
        <w:rPr>
          <w:sz w:val="22"/>
          <w:szCs w:val="22"/>
        </w:rPr>
        <w:t>. Ein Muslim ist auch verpflichtet, seine Familie dazu zu bringen, das Gebet mit Mitgefühl und Barmherzigkeit, süßen Worten und einem lächelnden Gesicht zu lieben. Tatsächlich hat unser Prophet (Friede sei mit ihm) gesagt: „Bringt</w:t>
      </w:r>
      <w:r w:rsidRPr="002C4C92">
        <w:rPr>
          <w:b/>
          <w:sz w:val="22"/>
          <w:szCs w:val="22"/>
        </w:rPr>
        <w:t xml:space="preserve"> euren Kindern das Beten bei, wenn sie sieben Jahre alt sind.“</w:t>
      </w:r>
      <w:r w:rsidRPr="002C4C92">
        <w:rPr>
          <w:b/>
          <w:sz w:val="22"/>
          <w:szCs w:val="22"/>
          <w:vertAlign w:val="superscript"/>
        </w:rPr>
        <w:endnoteReference w:id="5"/>
      </w:r>
      <w:r w:rsidRPr="002C4C92">
        <w:rPr>
          <w:sz w:val="22"/>
          <w:szCs w:val="22"/>
        </w:rPr>
        <w:t xml:space="preserve">. Er ging zu Fatimas Tür, seiner einzigartigen Tochter und lud sie zum Gebet mit den Worten: </w:t>
      </w:r>
      <w:proofErr w:type="gramStart"/>
      <w:r w:rsidRPr="002C4C92">
        <w:rPr>
          <w:sz w:val="22"/>
          <w:szCs w:val="22"/>
        </w:rPr>
        <w:t>,</w:t>
      </w:r>
      <w:r w:rsidRPr="002C4C92">
        <w:rPr>
          <w:b/>
          <w:sz w:val="22"/>
          <w:szCs w:val="22"/>
        </w:rPr>
        <w:t>„</w:t>
      </w:r>
      <w:proofErr w:type="gramEnd"/>
      <w:r w:rsidRPr="002C4C92">
        <w:rPr>
          <w:b/>
          <w:sz w:val="22"/>
          <w:szCs w:val="22"/>
        </w:rPr>
        <w:t>O Leute des Hauses! Komm schon, zum Gebet!“</w:t>
      </w:r>
      <w:r w:rsidRPr="002C4C92">
        <w:rPr>
          <w:sz w:val="22"/>
          <w:szCs w:val="22"/>
        </w:rPr>
        <w:t>.</w:t>
      </w:r>
      <w:r w:rsidRPr="002C4C92">
        <w:rPr>
          <w:sz w:val="22"/>
          <w:szCs w:val="22"/>
          <w:vertAlign w:val="superscript"/>
        </w:rPr>
        <w:endnoteReference w:id="6"/>
      </w:r>
    </w:p>
    <w:p w:rsidR="002C4C92" w:rsidRPr="002C4C92" w:rsidRDefault="002C4C92" w:rsidP="002C4C92">
      <w:pPr>
        <w:spacing w:line="247" w:lineRule="auto"/>
        <w:ind w:firstLine="567"/>
        <w:jc w:val="both"/>
        <w:rPr>
          <w:sz w:val="22"/>
          <w:szCs w:val="22"/>
        </w:rPr>
      </w:pPr>
      <w:r w:rsidRPr="002C4C92">
        <w:rPr>
          <w:b/>
          <w:sz w:val="22"/>
          <w:szCs w:val="22"/>
        </w:rPr>
        <w:t>Meine wertvollen Geschwister!</w:t>
      </w:r>
    </w:p>
    <w:p w:rsidR="002C4C92" w:rsidRPr="002C4C92" w:rsidRDefault="002C4C92" w:rsidP="002C4C92">
      <w:pPr>
        <w:spacing w:after="120" w:line="247" w:lineRule="auto"/>
        <w:ind w:firstLine="567"/>
        <w:jc w:val="both"/>
        <w:rPr>
          <w:sz w:val="22"/>
          <w:szCs w:val="22"/>
        </w:rPr>
      </w:pPr>
      <w:r w:rsidRPr="002C4C92">
        <w:rPr>
          <w:sz w:val="22"/>
          <w:szCs w:val="22"/>
        </w:rPr>
        <w:t xml:space="preserve">Lasst uns mit Ergebenheit, Aufrichtigkeit und Ehrfurcht vor unserem Herrn stehen. Achten wir darauf, unsere Gebete in der Gemeinschaft zu verrichten. Lassen wir uns und unsere Familien nicht auf das spirituelle Klima unserer Moscheen verzichten. Erfrischen wir unsere Herzen mit dem Gebet. Lasst uns durch das Gebet die Last der Sünden loswerden. Lasst uns unsere Zeit mit Gebet disziplinieren. Strukturieren wir unsere Arbeit nach Gebetszeiten an. Lasst uns niemals unsere Gebete vernachlässigen, indem wir uns in die Hektik der </w:t>
      </w:r>
      <w:proofErr w:type="gramStart"/>
      <w:r w:rsidRPr="002C4C92">
        <w:rPr>
          <w:sz w:val="22"/>
          <w:szCs w:val="22"/>
        </w:rPr>
        <w:t>vergänglichen</w:t>
      </w:r>
      <w:proofErr w:type="gramEnd"/>
      <w:r w:rsidRPr="002C4C92">
        <w:rPr>
          <w:sz w:val="22"/>
          <w:szCs w:val="22"/>
        </w:rPr>
        <w:t xml:space="preserve"> Welt verwickeln lassen.</w:t>
      </w:r>
    </w:p>
    <w:p w:rsidR="002C4C92" w:rsidRPr="002C4C92" w:rsidRDefault="002C4C92" w:rsidP="002C4C92">
      <w:pPr>
        <w:spacing w:line="247" w:lineRule="auto"/>
        <w:ind w:firstLine="567"/>
        <w:jc w:val="both"/>
        <w:rPr>
          <w:sz w:val="22"/>
          <w:szCs w:val="22"/>
        </w:rPr>
      </w:pPr>
      <w:r w:rsidRPr="002C4C92">
        <w:rPr>
          <w:sz w:val="22"/>
          <w:szCs w:val="22"/>
        </w:rPr>
        <w:t>Ich beende meine Predigt mit der folgenden guten Nachricht von unserem Propheten (Friede sei mit ihm):</w:t>
      </w:r>
      <w:r w:rsidRPr="002C4C92">
        <w:rPr>
          <w:b/>
          <w:sz w:val="22"/>
          <w:szCs w:val="22"/>
        </w:rPr>
        <w:t xml:space="preserve">„Diejenigen, die akzeptieren, dass fünf tägliche Gebete Gottes Gebot sind, diese verrichten und dabei auf ihre Waschungen, Zeiten, Verbeugungen und </w:t>
      </w:r>
      <w:proofErr w:type="spellStart"/>
      <w:r w:rsidRPr="002C4C92">
        <w:rPr>
          <w:b/>
          <w:sz w:val="22"/>
          <w:szCs w:val="22"/>
        </w:rPr>
        <w:t>Niederwerfungen</w:t>
      </w:r>
      <w:proofErr w:type="spellEnd"/>
      <w:r w:rsidRPr="002C4C92">
        <w:rPr>
          <w:b/>
          <w:sz w:val="22"/>
          <w:szCs w:val="22"/>
        </w:rPr>
        <w:t xml:space="preserve"> achten, werden in den Himmel kommen.“</w:t>
      </w:r>
      <w:r w:rsidRPr="002C4C92">
        <w:rPr>
          <w:b/>
          <w:sz w:val="22"/>
          <w:szCs w:val="22"/>
          <w:vertAlign w:val="superscript"/>
        </w:rPr>
        <w:endnoteReference w:id="7"/>
      </w:r>
    </w:p>
    <w:sectPr w:rsidR="002C4C92" w:rsidRPr="002C4C92" w:rsidSect="002C4C92">
      <w:endnotePr>
        <w:numFmt w:val="decimal"/>
      </w:endnotePr>
      <w:pgSz w:w="11906" w:h="16838"/>
      <w:pgMar w:top="397" w:right="397" w:bottom="397" w:left="397" w:header="709" w:footer="709" w:gutter="0"/>
      <w:pgNumType w:start="1"/>
      <w:cols w:num="2" w:space="708" w:equalWidth="0">
        <w:col w:w="5301" w:space="510"/>
        <w:col w:w="5301"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8C" w:rsidRDefault="003B3B8C">
      <w:r>
        <w:separator/>
      </w:r>
    </w:p>
  </w:endnote>
  <w:endnote w:type="continuationSeparator" w:id="0">
    <w:p w:rsidR="003B3B8C" w:rsidRDefault="003B3B8C">
      <w:r>
        <w:continuationSeparator/>
      </w:r>
    </w:p>
  </w:endnote>
  <w:endnote w:id="1">
    <w:p w:rsidR="002C4C92" w:rsidRPr="002C4C92" w:rsidRDefault="002C4C92">
      <w:pPr>
        <w:pBdr>
          <w:top w:val="nil"/>
          <w:left w:val="nil"/>
          <w:bottom w:val="nil"/>
          <w:right w:val="nil"/>
          <w:between w:val="nil"/>
        </w:pBdr>
        <w:jc w:val="both"/>
        <w:rPr>
          <w:color w:val="000000" w:themeColor="text1"/>
          <w:sz w:val="19"/>
          <w:szCs w:val="19"/>
        </w:rPr>
      </w:pPr>
      <w:r w:rsidRPr="002C4C92">
        <w:rPr>
          <w:color w:val="000000" w:themeColor="text1"/>
          <w:vertAlign w:val="superscript"/>
        </w:rPr>
        <w:endnoteRef/>
      </w:r>
      <w:r w:rsidRPr="002C4C92">
        <w:rPr>
          <w:color w:val="000000" w:themeColor="text1"/>
          <w:sz w:val="19"/>
          <w:szCs w:val="19"/>
        </w:rPr>
        <w:t xml:space="preserve"> Interview, 29/45.</w:t>
      </w:r>
    </w:p>
  </w:endnote>
  <w:endnote w:id="2">
    <w:p w:rsidR="002C4C92" w:rsidRPr="002C4C92" w:rsidRDefault="002C4C92">
      <w:pPr>
        <w:pBdr>
          <w:top w:val="nil"/>
          <w:left w:val="nil"/>
          <w:bottom w:val="nil"/>
          <w:right w:val="nil"/>
          <w:between w:val="nil"/>
        </w:pBdr>
        <w:jc w:val="both"/>
        <w:rPr>
          <w:color w:val="000000" w:themeColor="text1"/>
          <w:sz w:val="19"/>
          <w:szCs w:val="19"/>
        </w:rPr>
      </w:pPr>
      <w:r w:rsidRPr="002C4C92">
        <w:rPr>
          <w:color w:val="000000" w:themeColor="text1"/>
          <w:vertAlign w:val="superscript"/>
        </w:rPr>
        <w:endnoteRef/>
      </w:r>
      <w:r w:rsidRPr="002C4C92">
        <w:rPr>
          <w:color w:val="000000" w:themeColor="text1"/>
          <w:sz w:val="19"/>
          <w:szCs w:val="19"/>
        </w:rPr>
        <w:t xml:space="preserve"> </w:t>
      </w:r>
      <w:proofErr w:type="spellStart"/>
      <w:r w:rsidRPr="002C4C92">
        <w:rPr>
          <w:color w:val="000000" w:themeColor="text1"/>
          <w:sz w:val="19"/>
          <w:szCs w:val="19"/>
        </w:rPr>
        <w:t>Nesâî</w:t>
      </w:r>
      <w:proofErr w:type="spellEnd"/>
      <w:r w:rsidRPr="002C4C92">
        <w:rPr>
          <w:color w:val="000000" w:themeColor="text1"/>
          <w:sz w:val="19"/>
          <w:szCs w:val="19"/>
        </w:rPr>
        <w:t xml:space="preserve">, </w:t>
      </w:r>
      <w:proofErr w:type="spellStart"/>
      <w:r w:rsidRPr="002C4C92">
        <w:rPr>
          <w:color w:val="000000" w:themeColor="text1"/>
          <w:sz w:val="19"/>
          <w:szCs w:val="19"/>
        </w:rPr>
        <w:t>Muhârebe</w:t>
      </w:r>
      <w:proofErr w:type="spellEnd"/>
      <w:r w:rsidRPr="002C4C92">
        <w:rPr>
          <w:color w:val="000000" w:themeColor="text1"/>
          <w:sz w:val="19"/>
          <w:szCs w:val="19"/>
        </w:rPr>
        <w:t>, 2.</w:t>
      </w:r>
    </w:p>
  </w:endnote>
  <w:endnote w:id="3">
    <w:p w:rsidR="002C4C92" w:rsidRPr="002C4C92" w:rsidRDefault="002C4C92">
      <w:pPr>
        <w:pBdr>
          <w:top w:val="nil"/>
          <w:left w:val="nil"/>
          <w:bottom w:val="nil"/>
          <w:right w:val="nil"/>
          <w:between w:val="nil"/>
        </w:pBdr>
        <w:jc w:val="both"/>
        <w:rPr>
          <w:color w:val="000000" w:themeColor="text1"/>
          <w:sz w:val="19"/>
          <w:szCs w:val="19"/>
        </w:rPr>
      </w:pPr>
      <w:r w:rsidRPr="002C4C92">
        <w:rPr>
          <w:color w:val="000000" w:themeColor="text1"/>
          <w:vertAlign w:val="superscript"/>
        </w:rPr>
        <w:endnoteRef/>
      </w:r>
      <w:r w:rsidRPr="002C4C92">
        <w:rPr>
          <w:color w:val="000000" w:themeColor="text1"/>
          <w:sz w:val="19"/>
          <w:szCs w:val="19"/>
        </w:rPr>
        <w:t xml:space="preserve"> </w:t>
      </w:r>
      <w:proofErr w:type="spellStart"/>
      <w:r w:rsidRPr="002C4C92">
        <w:rPr>
          <w:color w:val="000000" w:themeColor="text1"/>
          <w:sz w:val="19"/>
          <w:szCs w:val="19"/>
        </w:rPr>
        <w:t>Tirmidhi</w:t>
      </w:r>
      <w:proofErr w:type="spellEnd"/>
      <w:r w:rsidRPr="002C4C92">
        <w:rPr>
          <w:color w:val="000000" w:themeColor="text1"/>
          <w:sz w:val="19"/>
          <w:szCs w:val="19"/>
        </w:rPr>
        <w:t>, Iman, 8;</w:t>
      </w:r>
      <w:r w:rsidRPr="002C4C92">
        <w:rPr>
          <w:rFonts w:ascii="Arial" w:eastAsia="Arial" w:hAnsi="Arial" w:cs="Arial"/>
          <w:color w:val="000000" w:themeColor="text1"/>
          <w:sz w:val="21"/>
          <w:szCs w:val="21"/>
          <w:highlight w:val="white"/>
        </w:rPr>
        <w:t xml:space="preserve"> </w:t>
      </w:r>
      <w:proofErr w:type="spellStart"/>
      <w:r w:rsidRPr="002C4C92">
        <w:rPr>
          <w:color w:val="000000" w:themeColor="text1"/>
          <w:sz w:val="19"/>
          <w:szCs w:val="19"/>
        </w:rPr>
        <w:t>Nesâî</w:t>
      </w:r>
      <w:proofErr w:type="spellEnd"/>
      <w:r w:rsidRPr="002C4C92">
        <w:rPr>
          <w:color w:val="000000" w:themeColor="text1"/>
          <w:sz w:val="19"/>
          <w:szCs w:val="19"/>
        </w:rPr>
        <w:t xml:space="preserve">, </w:t>
      </w:r>
      <w:proofErr w:type="spellStart"/>
      <w:r w:rsidRPr="002C4C92">
        <w:rPr>
          <w:color w:val="000000" w:themeColor="text1"/>
          <w:sz w:val="19"/>
          <w:szCs w:val="19"/>
        </w:rPr>
        <w:t>Işratü'n-Nisâ</w:t>
      </w:r>
      <w:proofErr w:type="spellEnd"/>
      <w:r w:rsidRPr="002C4C92">
        <w:rPr>
          <w:color w:val="000000" w:themeColor="text1"/>
          <w:sz w:val="19"/>
          <w:szCs w:val="19"/>
        </w:rPr>
        <w:t xml:space="preserve">, ​​​​1; </w:t>
      </w:r>
      <w:proofErr w:type="spellStart"/>
      <w:r w:rsidRPr="002C4C92">
        <w:rPr>
          <w:color w:val="000000" w:themeColor="text1"/>
          <w:sz w:val="19"/>
          <w:szCs w:val="19"/>
        </w:rPr>
        <w:t>Ebû</w:t>
      </w:r>
      <w:proofErr w:type="spellEnd"/>
      <w:r w:rsidRPr="002C4C92">
        <w:rPr>
          <w:color w:val="000000" w:themeColor="text1"/>
          <w:sz w:val="19"/>
          <w:szCs w:val="19"/>
        </w:rPr>
        <w:t xml:space="preserve"> </w:t>
      </w:r>
      <w:proofErr w:type="spellStart"/>
      <w:r w:rsidRPr="002C4C92">
        <w:rPr>
          <w:color w:val="000000" w:themeColor="text1"/>
          <w:sz w:val="19"/>
          <w:szCs w:val="19"/>
        </w:rPr>
        <w:t>Dâvûd</w:t>
      </w:r>
      <w:proofErr w:type="spellEnd"/>
      <w:r w:rsidRPr="002C4C92">
        <w:rPr>
          <w:color w:val="000000" w:themeColor="text1"/>
          <w:sz w:val="19"/>
          <w:szCs w:val="19"/>
        </w:rPr>
        <w:t xml:space="preserve">, </w:t>
      </w:r>
      <w:proofErr w:type="spellStart"/>
      <w:r w:rsidRPr="002C4C92">
        <w:rPr>
          <w:color w:val="000000" w:themeColor="text1"/>
          <w:sz w:val="19"/>
          <w:szCs w:val="19"/>
        </w:rPr>
        <w:t>Edeb</w:t>
      </w:r>
      <w:proofErr w:type="spellEnd"/>
      <w:r w:rsidRPr="002C4C92">
        <w:rPr>
          <w:color w:val="000000" w:themeColor="text1"/>
          <w:sz w:val="19"/>
          <w:szCs w:val="19"/>
        </w:rPr>
        <w:t xml:space="preserve">, 78; </w:t>
      </w:r>
      <w:proofErr w:type="spellStart"/>
      <w:r w:rsidRPr="002C4C92">
        <w:rPr>
          <w:color w:val="000000" w:themeColor="text1"/>
          <w:sz w:val="19"/>
          <w:szCs w:val="19"/>
        </w:rPr>
        <w:t>Tirmidhi</w:t>
      </w:r>
      <w:proofErr w:type="spellEnd"/>
      <w:r w:rsidRPr="002C4C92">
        <w:rPr>
          <w:color w:val="000000" w:themeColor="text1"/>
          <w:sz w:val="19"/>
          <w:szCs w:val="19"/>
        </w:rPr>
        <w:t xml:space="preserve">, </w:t>
      </w:r>
      <w:proofErr w:type="spellStart"/>
      <w:r w:rsidRPr="002C4C92">
        <w:rPr>
          <w:color w:val="000000" w:themeColor="text1"/>
          <w:sz w:val="19"/>
          <w:szCs w:val="19"/>
        </w:rPr>
        <w:t>Tahâret</w:t>
      </w:r>
      <w:proofErr w:type="spellEnd"/>
      <w:r w:rsidRPr="002C4C92">
        <w:rPr>
          <w:color w:val="000000" w:themeColor="text1"/>
          <w:sz w:val="19"/>
          <w:szCs w:val="19"/>
        </w:rPr>
        <w:t>, 1.</w:t>
      </w:r>
    </w:p>
  </w:endnote>
  <w:endnote w:id="4">
    <w:p w:rsidR="002C4C92" w:rsidRPr="002C4C92" w:rsidRDefault="002C4C92">
      <w:pPr>
        <w:pBdr>
          <w:top w:val="nil"/>
          <w:left w:val="nil"/>
          <w:bottom w:val="nil"/>
          <w:right w:val="nil"/>
          <w:between w:val="nil"/>
        </w:pBdr>
        <w:jc w:val="both"/>
        <w:rPr>
          <w:color w:val="000000" w:themeColor="text1"/>
          <w:sz w:val="19"/>
          <w:szCs w:val="19"/>
        </w:rPr>
      </w:pPr>
      <w:r w:rsidRPr="002C4C92">
        <w:rPr>
          <w:color w:val="000000" w:themeColor="text1"/>
          <w:vertAlign w:val="superscript"/>
        </w:rPr>
        <w:endnoteRef/>
      </w:r>
      <w:r w:rsidRPr="002C4C92">
        <w:rPr>
          <w:color w:val="000000" w:themeColor="text1"/>
          <w:sz w:val="19"/>
          <w:szCs w:val="19"/>
        </w:rPr>
        <w:t xml:space="preserve"> </w:t>
      </w:r>
      <w:proofErr w:type="spellStart"/>
      <w:r w:rsidRPr="002C4C92">
        <w:rPr>
          <w:color w:val="000000" w:themeColor="text1"/>
          <w:sz w:val="19"/>
          <w:szCs w:val="19"/>
          <w:lang w:val="tr-TR"/>
        </w:rPr>
        <w:t>Tâhâ</w:t>
      </w:r>
      <w:proofErr w:type="spellEnd"/>
      <w:r w:rsidRPr="002C4C92">
        <w:rPr>
          <w:color w:val="000000" w:themeColor="text1"/>
          <w:sz w:val="19"/>
          <w:szCs w:val="19"/>
        </w:rPr>
        <w:t>, 20/132.</w:t>
      </w:r>
    </w:p>
  </w:endnote>
  <w:endnote w:id="5">
    <w:p w:rsidR="002C4C92" w:rsidRPr="002C4C92" w:rsidRDefault="002C4C92">
      <w:pPr>
        <w:pBdr>
          <w:top w:val="nil"/>
          <w:left w:val="nil"/>
          <w:bottom w:val="nil"/>
          <w:right w:val="nil"/>
          <w:between w:val="nil"/>
        </w:pBdr>
        <w:jc w:val="both"/>
        <w:rPr>
          <w:color w:val="000000" w:themeColor="text1"/>
          <w:sz w:val="19"/>
          <w:szCs w:val="19"/>
        </w:rPr>
      </w:pPr>
      <w:r w:rsidRPr="002C4C92">
        <w:rPr>
          <w:color w:val="000000" w:themeColor="text1"/>
          <w:vertAlign w:val="superscript"/>
        </w:rPr>
        <w:endnoteRef/>
      </w:r>
      <w:r w:rsidRPr="002C4C92">
        <w:rPr>
          <w:color w:val="000000" w:themeColor="text1"/>
          <w:sz w:val="19"/>
          <w:szCs w:val="19"/>
        </w:rPr>
        <w:t xml:space="preserve"> Abu Dawud, Salat, 26.</w:t>
      </w:r>
    </w:p>
  </w:endnote>
  <w:endnote w:id="6">
    <w:p w:rsidR="002C4C92" w:rsidRPr="002C4C92" w:rsidRDefault="002C4C92">
      <w:pPr>
        <w:pBdr>
          <w:top w:val="nil"/>
          <w:left w:val="nil"/>
          <w:bottom w:val="nil"/>
          <w:right w:val="nil"/>
          <w:between w:val="nil"/>
        </w:pBdr>
        <w:jc w:val="both"/>
        <w:rPr>
          <w:color w:val="000000" w:themeColor="text1"/>
          <w:sz w:val="19"/>
          <w:szCs w:val="19"/>
        </w:rPr>
      </w:pPr>
      <w:r w:rsidRPr="002C4C92">
        <w:rPr>
          <w:color w:val="000000" w:themeColor="text1"/>
          <w:vertAlign w:val="superscript"/>
        </w:rPr>
        <w:endnoteRef/>
      </w:r>
      <w:r w:rsidRPr="002C4C92">
        <w:rPr>
          <w:color w:val="000000" w:themeColor="text1"/>
          <w:sz w:val="19"/>
          <w:szCs w:val="19"/>
        </w:rPr>
        <w:t xml:space="preserve"> </w:t>
      </w:r>
      <w:proofErr w:type="spellStart"/>
      <w:r w:rsidRPr="002C4C92">
        <w:rPr>
          <w:color w:val="000000" w:themeColor="text1"/>
          <w:sz w:val="19"/>
          <w:szCs w:val="19"/>
        </w:rPr>
        <w:t>Tirmidhi</w:t>
      </w:r>
      <w:proofErr w:type="spellEnd"/>
      <w:r w:rsidRPr="002C4C92">
        <w:rPr>
          <w:color w:val="000000" w:themeColor="text1"/>
          <w:sz w:val="19"/>
          <w:szCs w:val="19"/>
        </w:rPr>
        <w:t>, Tafsir al-</w:t>
      </w:r>
      <w:proofErr w:type="spellStart"/>
      <w:r w:rsidRPr="002C4C92">
        <w:rPr>
          <w:color w:val="000000" w:themeColor="text1"/>
          <w:sz w:val="19"/>
          <w:szCs w:val="19"/>
        </w:rPr>
        <w:t>Qur'an</w:t>
      </w:r>
      <w:proofErr w:type="spellEnd"/>
      <w:r w:rsidRPr="002C4C92">
        <w:rPr>
          <w:color w:val="000000" w:themeColor="text1"/>
          <w:sz w:val="19"/>
          <w:szCs w:val="19"/>
        </w:rPr>
        <w:t>, 33.</w:t>
      </w:r>
    </w:p>
  </w:endnote>
  <w:endnote w:id="7">
    <w:p w:rsidR="002C4C92" w:rsidRPr="002C4C92" w:rsidRDefault="002C4C92">
      <w:pPr>
        <w:pBdr>
          <w:top w:val="nil"/>
          <w:left w:val="nil"/>
          <w:bottom w:val="nil"/>
          <w:right w:val="nil"/>
          <w:between w:val="nil"/>
        </w:pBdr>
        <w:jc w:val="both"/>
        <w:rPr>
          <w:color w:val="000000" w:themeColor="text1"/>
          <w:sz w:val="19"/>
          <w:szCs w:val="19"/>
          <w:highlight w:val="white"/>
        </w:rPr>
      </w:pPr>
      <w:r w:rsidRPr="002C4C92">
        <w:rPr>
          <w:color w:val="000000" w:themeColor="text1"/>
          <w:vertAlign w:val="superscript"/>
        </w:rPr>
        <w:endnoteRef/>
      </w:r>
      <w:r w:rsidRPr="002C4C92">
        <w:rPr>
          <w:color w:val="000000" w:themeColor="text1"/>
          <w:sz w:val="19"/>
          <w:szCs w:val="19"/>
        </w:rPr>
        <w:t xml:space="preserve"> </w:t>
      </w:r>
      <w:r w:rsidRPr="002C4C92">
        <w:rPr>
          <w:color w:val="000000" w:themeColor="text1"/>
          <w:sz w:val="19"/>
          <w:szCs w:val="19"/>
          <w:highlight w:val="white"/>
        </w:rPr>
        <w:t xml:space="preserve">Ibn </w:t>
      </w:r>
      <w:proofErr w:type="spellStart"/>
      <w:r w:rsidRPr="002C4C92">
        <w:rPr>
          <w:color w:val="000000" w:themeColor="text1"/>
          <w:sz w:val="19"/>
          <w:szCs w:val="19"/>
          <w:highlight w:val="white"/>
        </w:rPr>
        <w:t>Hanbel</w:t>
      </w:r>
      <w:proofErr w:type="spellEnd"/>
      <w:r w:rsidRPr="002C4C92">
        <w:rPr>
          <w:color w:val="000000" w:themeColor="text1"/>
          <w:sz w:val="19"/>
          <w:szCs w:val="19"/>
          <w:highlight w:val="white"/>
        </w:rPr>
        <w:t>, IV, 266.</w:t>
      </w:r>
    </w:p>
    <w:p w:rsidR="002C4C92" w:rsidRDefault="002C4C92">
      <w:pPr>
        <w:pBdr>
          <w:top w:val="nil"/>
          <w:left w:val="nil"/>
          <w:bottom w:val="nil"/>
          <w:right w:val="nil"/>
          <w:between w:val="nil"/>
        </w:pBdr>
        <w:jc w:val="right"/>
        <w:rPr>
          <w:color w:val="000000"/>
          <w:sz w:val="20"/>
          <w:szCs w:val="20"/>
        </w:rPr>
      </w:pPr>
      <w:r>
        <w:rPr>
          <w:b/>
          <w:i/>
          <w:color w:val="000000"/>
          <w:sz w:val="22"/>
          <w:szCs w:val="22"/>
        </w:rPr>
        <w:t>Generaldirektion für religiöse Dienste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haikh Hamdullah Basic">
    <w:panose1 w:val="02000506000000020004"/>
    <w:charset w:val="B2"/>
    <w:family w:val="auto"/>
    <w:pitch w:val="variable"/>
    <w:sig w:usb0="00002001" w:usb1="00000000" w:usb2="00000000" w:usb3="00000000" w:csb0="00000040" w:csb1="00000000"/>
  </w:font>
  <w:font w:name="Arial">
    <w:panose1 w:val="020B0604020202020204"/>
    <w:charset w:val="A2"/>
    <w:family w:val="swiss"/>
    <w:pitch w:val="variable"/>
    <w:sig w:usb0="E0002EFF" w:usb1="C000785B" w:usb2="00000009" w:usb3="00000000" w:csb0="000001FF" w:csb1="00000000"/>
  </w:font>
  <w:font w:name="Shaikh Hamdullah Mushaf">
    <w:panose1 w:val="03020500000000020004"/>
    <w:charset w:val="B2"/>
    <w:family w:val="script"/>
    <w:pitch w:val="variable"/>
    <w:sig w:usb0="80002003" w:usb1="80002000" w:usb2="00000020" w:usb3="00000000" w:csb0="0000004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8C" w:rsidRDefault="003B3B8C">
      <w:r>
        <w:separator/>
      </w:r>
    </w:p>
  </w:footnote>
  <w:footnote w:type="continuationSeparator" w:id="0">
    <w:p w:rsidR="003B3B8C" w:rsidRDefault="003B3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8843B7"/>
    <w:rsid w:val="00096C5A"/>
    <w:rsid w:val="001918FC"/>
    <w:rsid w:val="002C4C92"/>
    <w:rsid w:val="003B3B8C"/>
    <w:rsid w:val="003E5A55"/>
    <w:rsid w:val="00421C09"/>
    <w:rsid w:val="00815582"/>
    <w:rsid w:val="008843B7"/>
    <w:rsid w:val="00A80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2C4C92"/>
    <w:rPr>
      <w:rFonts w:ascii="Tahoma" w:hAnsi="Tahoma" w:cs="Tahoma"/>
      <w:sz w:val="16"/>
      <w:szCs w:val="16"/>
    </w:rPr>
  </w:style>
  <w:style w:type="character" w:customStyle="1" w:styleId="BalonMetniChar">
    <w:name w:val="Balon Metni Char"/>
    <w:basedOn w:val="VarsaylanParagrafYazTipi"/>
    <w:link w:val="BalonMetni"/>
    <w:uiPriority w:val="99"/>
    <w:semiHidden/>
    <w:rsid w:val="002C4C92"/>
    <w:rPr>
      <w:rFonts w:ascii="Tahoma" w:hAnsi="Tahoma" w:cs="Tahoma"/>
      <w:sz w:val="16"/>
      <w:szCs w:val="16"/>
    </w:rPr>
  </w:style>
  <w:style w:type="paragraph" w:styleId="SonnotMetni">
    <w:name w:val="endnote text"/>
    <w:basedOn w:val="Normal"/>
    <w:link w:val="SonnotMetniChar"/>
    <w:uiPriority w:val="99"/>
    <w:semiHidden/>
    <w:unhideWhenUsed/>
    <w:rsid w:val="002C4C92"/>
    <w:rPr>
      <w:sz w:val="20"/>
      <w:szCs w:val="20"/>
    </w:rPr>
  </w:style>
  <w:style w:type="character" w:customStyle="1" w:styleId="SonnotMetniChar">
    <w:name w:val="Sonnot Metni Char"/>
    <w:basedOn w:val="VarsaylanParagrafYazTipi"/>
    <w:link w:val="SonnotMetni"/>
    <w:uiPriority w:val="99"/>
    <w:semiHidden/>
    <w:rsid w:val="002C4C92"/>
    <w:rPr>
      <w:sz w:val="20"/>
      <w:szCs w:val="20"/>
    </w:rPr>
  </w:style>
  <w:style w:type="paragraph" w:styleId="DipnotMetni">
    <w:name w:val="footnote text"/>
    <w:basedOn w:val="Normal"/>
    <w:link w:val="DipnotMetniChar"/>
    <w:uiPriority w:val="99"/>
    <w:semiHidden/>
    <w:unhideWhenUsed/>
    <w:rsid w:val="002C4C92"/>
    <w:rPr>
      <w:sz w:val="20"/>
      <w:szCs w:val="20"/>
    </w:rPr>
  </w:style>
  <w:style w:type="character" w:customStyle="1" w:styleId="DipnotMetniChar">
    <w:name w:val="Dipnot Metni Char"/>
    <w:basedOn w:val="VarsaylanParagrafYazTipi"/>
    <w:link w:val="DipnotMetni"/>
    <w:uiPriority w:val="99"/>
    <w:semiHidden/>
    <w:rsid w:val="002C4C92"/>
    <w:rPr>
      <w:sz w:val="20"/>
      <w:szCs w:val="20"/>
    </w:rPr>
  </w:style>
  <w:style w:type="character" w:styleId="SonnotBavurusu">
    <w:name w:val="endnote reference"/>
    <w:basedOn w:val="VarsaylanParagrafYazTipi"/>
    <w:uiPriority w:val="99"/>
    <w:semiHidden/>
    <w:unhideWhenUsed/>
    <w:rsid w:val="002C4C92"/>
    <w:rPr>
      <w:vertAlign w:val="superscript"/>
    </w:rPr>
  </w:style>
  <w:style w:type="character" w:styleId="DipnotBavurusu">
    <w:name w:val="footnote reference"/>
    <w:basedOn w:val="VarsaylanParagrafYazTipi"/>
    <w:uiPriority w:val="99"/>
    <w:semiHidden/>
    <w:unhideWhenUsed/>
    <w:rsid w:val="002C4C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2C4C92"/>
    <w:rPr>
      <w:rFonts w:ascii="Tahoma" w:hAnsi="Tahoma" w:cs="Tahoma"/>
      <w:sz w:val="16"/>
      <w:szCs w:val="16"/>
    </w:rPr>
  </w:style>
  <w:style w:type="character" w:customStyle="1" w:styleId="BalonMetniChar">
    <w:name w:val="Balon Metni Char"/>
    <w:basedOn w:val="VarsaylanParagrafYazTipi"/>
    <w:link w:val="BalonMetni"/>
    <w:uiPriority w:val="99"/>
    <w:semiHidden/>
    <w:rsid w:val="002C4C92"/>
    <w:rPr>
      <w:rFonts w:ascii="Tahoma" w:hAnsi="Tahoma" w:cs="Tahoma"/>
      <w:sz w:val="16"/>
      <w:szCs w:val="16"/>
    </w:rPr>
  </w:style>
  <w:style w:type="paragraph" w:styleId="SonnotMetni">
    <w:name w:val="endnote text"/>
    <w:basedOn w:val="Normal"/>
    <w:link w:val="SonnotMetniChar"/>
    <w:uiPriority w:val="99"/>
    <w:semiHidden/>
    <w:unhideWhenUsed/>
    <w:rsid w:val="002C4C92"/>
    <w:rPr>
      <w:sz w:val="20"/>
      <w:szCs w:val="20"/>
    </w:rPr>
  </w:style>
  <w:style w:type="character" w:customStyle="1" w:styleId="SonnotMetniChar">
    <w:name w:val="Sonnot Metni Char"/>
    <w:basedOn w:val="VarsaylanParagrafYazTipi"/>
    <w:link w:val="SonnotMetni"/>
    <w:uiPriority w:val="99"/>
    <w:semiHidden/>
    <w:rsid w:val="002C4C92"/>
    <w:rPr>
      <w:sz w:val="20"/>
      <w:szCs w:val="20"/>
    </w:rPr>
  </w:style>
  <w:style w:type="paragraph" w:styleId="DipnotMetni">
    <w:name w:val="footnote text"/>
    <w:basedOn w:val="Normal"/>
    <w:link w:val="DipnotMetniChar"/>
    <w:uiPriority w:val="99"/>
    <w:semiHidden/>
    <w:unhideWhenUsed/>
    <w:rsid w:val="002C4C92"/>
    <w:rPr>
      <w:sz w:val="20"/>
      <w:szCs w:val="20"/>
    </w:rPr>
  </w:style>
  <w:style w:type="character" w:customStyle="1" w:styleId="DipnotMetniChar">
    <w:name w:val="Dipnot Metni Char"/>
    <w:basedOn w:val="VarsaylanParagrafYazTipi"/>
    <w:link w:val="DipnotMetni"/>
    <w:uiPriority w:val="99"/>
    <w:semiHidden/>
    <w:rsid w:val="002C4C92"/>
    <w:rPr>
      <w:sz w:val="20"/>
      <w:szCs w:val="20"/>
    </w:rPr>
  </w:style>
  <w:style w:type="character" w:styleId="SonnotBavurusu">
    <w:name w:val="endnote reference"/>
    <w:basedOn w:val="VarsaylanParagrafYazTipi"/>
    <w:uiPriority w:val="99"/>
    <w:semiHidden/>
    <w:unhideWhenUsed/>
    <w:rsid w:val="002C4C92"/>
    <w:rPr>
      <w:vertAlign w:val="superscript"/>
    </w:rPr>
  </w:style>
  <w:style w:type="character" w:styleId="DipnotBavurusu">
    <w:name w:val="footnote reference"/>
    <w:basedOn w:val="VarsaylanParagrafYazTipi"/>
    <w:uiPriority w:val="99"/>
    <w:semiHidden/>
    <w:unhideWhenUsed/>
    <w:rsid w:val="002C4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DKFT66RQZEX3-1797567310-5100</_dlc_DocId>
    <_dlc_DocIdUrl xmlns="4a2ce632-3ebe-48ff-a8b1-ed342ea1f401">
      <Url>https://dinhizmetleri.diyanet.gov.tr/_layouts/15/DocIdRedir.aspx?ID=DKFT66RQZEX3-1797567310-5100</Url>
      <Description>DKFT66RQZEX3-1797567310-5100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3FC56-7D38-4649-BED0-8A6805D8F620}"/>
</file>

<file path=customXml/itemProps2.xml><?xml version="1.0" encoding="utf-8"?>
<ds:datastoreItem xmlns:ds="http://schemas.openxmlformats.org/officeDocument/2006/customXml" ds:itemID="{721A146D-F07C-41BD-9A8B-EBF24AAB5272}"/>
</file>

<file path=customXml/itemProps3.xml><?xml version="1.0" encoding="utf-8"?>
<ds:datastoreItem xmlns:ds="http://schemas.openxmlformats.org/officeDocument/2006/customXml" ds:itemID="{B1EC630E-EC91-45E7-A38F-55FDDCDDB35A}"/>
</file>

<file path=customXml/itemProps4.xml><?xml version="1.0" encoding="utf-8"?>
<ds:datastoreItem xmlns:ds="http://schemas.openxmlformats.org/officeDocument/2006/customXml" ds:itemID="{2C9F5E9A-B2EE-4D42-A8D1-13A577A6EBE4}"/>
</file>

<file path=customXml/itemProps5.xml><?xml version="1.0" encoding="utf-8"?>
<ds:datastoreItem xmlns:ds="http://schemas.openxmlformats.org/officeDocument/2006/customXml" ds:itemID="{9F17DEA1-D805-402C-A9BA-7D407866D343}"/>
</file>

<file path=docProps/app.xml><?xml version="1.0" encoding="utf-8"?>
<Properties xmlns="http://schemas.openxmlformats.org/officeDocument/2006/extended-properties" xmlns:vt="http://schemas.openxmlformats.org/officeDocument/2006/docPropsVTypes">
  <Template>Normal</Template>
  <TotalTime>17</TotalTime>
  <Pages>1</Pages>
  <Words>680</Words>
  <Characters>3879</Characters>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2024-04-08T07:57:00Z</cp:lastPrinted>
  <dcterms:created xsi:type="dcterms:W3CDTF">2024-04-07T07:52:00Z</dcterms:created>
  <dcterms:modified xsi:type="dcterms:W3CDTF">2024-04-08T07:58:00Z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5f45a5d6-d98f-4035-8e71-f6133fc18d82</vt:lpwstr>
  </property>
  <property fmtid="{D5CDD505-2E9C-101B-9397-08002B2CF9AE}" pid="4" name="TaxKeyword">
    <vt:lpwstr>71;#hutbe|367964cc-f3b8-4af9-9c9a-49236226e63f</vt:lpwstr>
  </property>
</Properties>
</file>